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45"/>
          <w:tab w:val="center" w:pos="4213"/>
        </w:tabs>
        <w:kinsoku/>
        <w:wordWrap/>
        <w:overflowPunct/>
        <w:topLinePunct w:val="0"/>
        <w:autoSpaceDE/>
        <w:autoSpaceDN/>
        <w:bidi w:val="0"/>
        <w:adjustRightInd/>
        <w:snapToGrid w:val="0"/>
        <w:spacing w:line="620" w:lineRule="exact"/>
        <w:ind w:left="0" w:leftChars="0" w:right="0" w:rightChars="0" w:firstLine="0" w:firstLineChars="0"/>
        <w:jc w:val="left"/>
        <w:textAlignment w:val="auto"/>
        <w:outlineLvl w:val="9"/>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附件1</w:t>
      </w:r>
    </w:p>
    <w:p>
      <w:pPr>
        <w:keepNext w:val="0"/>
        <w:keepLines w:val="0"/>
        <w:pageBreakBefore w:val="0"/>
        <w:widowControl w:val="0"/>
        <w:tabs>
          <w:tab w:val="left" w:pos="945"/>
          <w:tab w:val="center" w:pos="4213"/>
        </w:tabs>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6"/>
          <w:kern w:val="0"/>
          <w:sz w:val="44"/>
          <w:szCs w:val="44"/>
        </w:rPr>
      </w:pPr>
      <w:r>
        <w:rPr>
          <w:rFonts w:hint="eastAsia" w:ascii="方正小标宋简体" w:hAnsi="方正小标宋简体" w:eastAsia="方正小标宋简体" w:cs="方正小标宋简体"/>
          <w:b w:val="0"/>
          <w:bCs w:val="0"/>
          <w:color w:val="000000"/>
          <w:spacing w:val="-6"/>
          <w:kern w:val="0"/>
          <w:sz w:val="44"/>
          <w:szCs w:val="44"/>
        </w:rPr>
        <w:t>全省党校（行政学院）系统2021—2022年度</w:t>
      </w:r>
    </w:p>
    <w:p>
      <w:pPr>
        <w:keepNext w:val="0"/>
        <w:keepLines w:val="0"/>
        <w:pageBreakBefore w:val="0"/>
        <w:widowControl w:val="0"/>
        <w:tabs>
          <w:tab w:val="left" w:pos="945"/>
          <w:tab w:val="center" w:pos="4213"/>
        </w:tabs>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rPr>
        <w:t>优秀科研成果奖获奖名单</w:t>
      </w:r>
    </w:p>
    <w:p>
      <w:pPr>
        <w:keepNext w:val="0"/>
        <w:keepLines w:val="0"/>
        <w:pageBreakBefore w:val="0"/>
        <w:widowControl w:val="0"/>
        <w:kinsoku/>
        <w:wordWrap/>
        <w:overflowPunct/>
        <w:topLinePunct w:val="0"/>
        <w:autoSpaceDE/>
        <w:autoSpaceDN/>
        <w:bidi w:val="0"/>
        <w:adjustRightInd/>
        <w:snapToGrid w:val="0"/>
        <w:spacing w:line="620" w:lineRule="exact"/>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60项</w:t>
      </w:r>
      <w:r>
        <w:rPr>
          <w:rFonts w:hint="eastAsia" w:ascii="楷体_GB2312" w:hAnsi="楷体_GB2312" w:eastAsia="楷体_GB2312" w:cs="楷体_GB2312"/>
          <w:sz w:val="32"/>
          <w:szCs w:val="32"/>
          <w:lang w:eastAsia="zh-CN"/>
        </w:rPr>
        <w:t>）</w:t>
      </w:r>
    </w:p>
    <w:p>
      <w:pPr>
        <w:pStyle w:val="9"/>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620" w:lineRule="exact"/>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一等奖（</w:t>
      </w:r>
      <w:r>
        <w:rPr>
          <w:rFonts w:hint="eastAsia" w:ascii="楷体_GB2312" w:hAnsi="楷体_GB2312" w:eastAsia="楷体_GB2312" w:cs="楷体_GB2312"/>
          <w:sz w:val="32"/>
          <w:szCs w:val="32"/>
          <w:lang w:val="en-US" w:eastAsia="zh-CN"/>
        </w:rPr>
        <w:t>9项</w:t>
      </w:r>
      <w:r>
        <w:rPr>
          <w:rFonts w:hint="eastAsia" w:ascii="楷体_GB2312" w:hAnsi="楷体_GB2312" w:eastAsia="楷体_GB2312" w:cs="楷体_GB2312"/>
          <w:sz w:val="32"/>
          <w:szCs w:val="32"/>
          <w:lang w:eastAsia="zh-CN"/>
        </w:rPr>
        <w:t>）</w:t>
      </w:r>
    </w:p>
    <w:p>
      <w:pPr>
        <w:pStyle w:val="3"/>
        <w:rPr>
          <w:rFonts w:hint="eastAsia"/>
          <w:lang w:eastAsia="zh-CN"/>
        </w:rPr>
      </w:pPr>
    </w:p>
    <w:tbl>
      <w:tblPr>
        <w:tblStyle w:val="8"/>
        <w:tblW w:w="9085"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5"/>
        <w:gridCol w:w="2427"/>
        <w:gridCol w:w="1095"/>
        <w:gridCol w:w="4050"/>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作者</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成果名称</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广州市委党校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（广州行政学院）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王  玉</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数字经济对中小制造企业转型的影响研究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深圳市委党校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（深圳行政学院）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韩  靓</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新时代广东省人口发展问题研究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27"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彭芳梅</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粤港澳大湾区产业融合驱动全要素生产率增长研究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427"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韩  颖</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中国特色选贤任能制度的历史逻辑、实践特质与优化路径</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27"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王焱麒</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从西方文明到全球文明：城市文明的中国转向</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42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张  磊</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中国经济特区建设发展的理论与实践探究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珠海市委党校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（珠海行政学院）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闫  笑</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罗尔斯稳定性问题研究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中山市委党校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（中山行政学院）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陈卫林</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衡平税法机理研究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242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郑劲超</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sz w:val="24"/>
                <w:szCs w:val="24"/>
                <w:u w:val="none"/>
              </w:rPr>
            </w:pPr>
            <w:r>
              <w:rPr>
                <w:rStyle w:val="10"/>
                <w:rFonts w:hAnsi="宋体"/>
                <w:lang w:val="en-US" w:eastAsia="zh-CN" w:bidi="ar"/>
              </w:rPr>
              <w:t>重写现代性——利奥塔的马克思主义思想研究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bl>
    <w:p>
      <w:pPr>
        <w:keepNext w:val="0"/>
        <w:keepLines w:val="0"/>
        <w:pageBreakBefore w:val="0"/>
        <w:widowControl w:val="0"/>
        <w:kinsoku/>
        <w:wordWrap/>
        <w:overflowPunct/>
        <w:topLinePunct w:val="0"/>
        <w:autoSpaceDE/>
        <w:autoSpaceDN/>
        <w:bidi w:val="0"/>
        <w:adjustRightInd/>
        <w:snapToGrid w:val="0"/>
        <w:spacing w:line="620" w:lineRule="exact"/>
        <w:ind w:right="0" w:rightChars="0"/>
        <w:jc w:val="center"/>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20" w:lineRule="exact"/>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二等奖（</w:t>
      </w:r>
      <w:r>
        <w:rPr>
          <w:rFonts w:hint="eastAsia" w:ascii="楷体_GB2312" w:hAnsi="楷体_GB2312" w:eastAsia="楷体_GB2312" w:cs="楷体_GB2312"/>
          <w:sz w:val="32"/>
          <w:szCs w:val="32"/>
          <w:lang w:val="en-US" w:eastAsia="zh-CN"/>
        </w:rPr>
        <w:t>15项</w:t>
      </w:r>
      <w:r>
        <w:rPr>
          <w:rFonts w:hint="eastAsia" w:ascii="楷体_GB2312" w:hAnsi="楷体_GB2312" w:eastAsia="楷体_GB2312" w:cs="楷体_GB2312"/>
          <w:sz w:val="32"/>
          <w:szCs w:val="32"/>
          <w:lang w:eastAsia="zh-CN"/>
        </w:rPr>
        <w:t>）</w:t>
      </w:r>
    </w:p>
    <w:p>
      <w:pPr>
        <w:pStyle w:val="3"/>
        <w:rPr>
          <w:rFonts w:hint="eastAsia"/>
          <w:lang w:eastAsia="zh-CN"/>
        </w:rPr>
      </w:pPr>
    </w:p>
    <w:tbl>
      <w:tblPr>
        <w:tblStyle w:val="8"/>
        <w:tblW w:w="9085"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5"/>
        <w:gridCol w:w="2427"/>
        <w:gridCol w:w="1095"/>
        <w:gridCol w:w="4050"/>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作者</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成果名称</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广州市委党校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（广州行政学院）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李韶驰</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政府数字化转型中的个人数字身份运用：机理阐释及优化路径</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2427"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段秀芳</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重估知识的价值——“淹没问题”再思考</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27"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林柳琳</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制度型开放视域下推进“两个合作区”建设的思考</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427"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何  平</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000000"/>
                <w:sz w:val="24"/>
                <w:szCs w:val="24"/>
                <w:u w:val="none"/>
              </w:rPr>
            </w:pPr>
            <w:r>
              <w:rPr>
                <w:rStyle w:val="11"/>
                <w:rFonts w:hAnsi="宋体"/>
                <w:lang w:val="en-US" w:eastAsia="zh-CN" w:bidi="ar"/>
              </w:rPr>
              <w:t>社会治理与纠纷化解现代化</w:t>
            </w:r>
            <w:r>
              <w:rPr>
                <w:rFonts w:hint="eastAsia" w:ascii="Times New Roman" w:hAnsi="Times New Roman" w:eastAsia="仿宋_GB2312" w:cs="Times New Roman"/>
                <w:i w:val="0"/>
                <w:color w:val="000000"/>
                <w:kern w:val="0"/>
                <w:sz w:val="28"/>
                <w:szCs w:val="28"/>
                <w:u w:val="none"/>
                <w:lang w:val="en-US" w:eastAsia="zh-CN" w:bidi="ar"/>
              </w:rPr>
              <w:t>：</w:t>
            </w:r>
            <w:r>
              <w:rPr>
                <w:rFonts w:ascii="方正仿宋简体" w:hAnsi="方正仿宋简体" w:eastAsia="方正仿宋简体" w:cs="方正仿宋简体"/>
                <w:i w:val="0"/>
                <w:color w:val="000000"/>
                <w:kern w:val="0"/>
                <w:sz w:val="28"/>
                <w:szCs w:val="28"/>
                <w:u w:val="none"/>
                <w:lang w:val="en-US" w:eastAsia="zh-CN" w:bidi="ar"/>
              </w:rPr>
              <w:t>程序保障视域下的民事预决效力研究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2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李  杨</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绿色复苏与绿色技术创新研究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深圳市委党校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（深圳行政学院）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曹雨佳</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政府开放数据生态链中的用户参与机制——以加拿大政府数据开放实践为例</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佛山市委党校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（佛山行政学院）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王雅玲</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我国智能执法的理论、现状与前瞻——基于人工智能法治视角</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惠州市委党校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（惠州行政学院）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周翠俭</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共同富裕下居民慈善捐赠的同群效应研究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汕尾市委党校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（汕尾行政学院）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王军鹏</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广东粮食产量的时空特征及影响因素</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东莞市委党校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（东莞行政学院）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廖  原</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金融数据安全视阈下的云技术监管路径研究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2427"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刘  程</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数字金融与银行贷款合约</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——基于我国上市公司微观银行贷款数据的实证研究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2427" w:type="dxa"/>
            <w:vMerge w:val="continue"/>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江炎骏</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大湾区综合性国家科学中心建设背景下松山湖科学城的创新系统建设</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茂名市委党校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（茂名行政学院）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宋秀波</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乡村治理场域中的农村社会组织</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肇庆市委党校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（肇庆行政学院）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陈伟扬</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20世纪30年代“中国农村派”华南农村调查管窥</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潮州市委党校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（潮州行政学院）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吴构松</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 xml:space="preserve">潮州方言与潮汕地名 </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bl>
    <w:p>
      <w:pPr>
        <w:pStyle w:val="9"/>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620" w:lineRule="exact"/>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三等奖（</w:t>
      </w:r>
      <w:r>
        <w:rPr>
          <w:rFonts w:hint="eastAsia" w:ascii="楷体_GB2312" w:hAnsi="楷体_GB2312" w:eastAsia="楷体_GB2312" w:cs="楷体_GB2312"/>
          <w:sz w:val="32"/>
          <w:szCs w:val="32"/>
          <w:lang w:val="en-US" w:eastAsia="zh-CN"/>
        </w:rPr>
        <w:t>36项</w:t>
      </w:r>
      <w:r>
        <w:rPr>
          <w:rFonts w:hint="eastAsia" w:ascii="楷体_GB2312" w:hAnsi="楷体_GB2312" w:eastAsia="楷体_GB2312" w:cs="楷体_GB2312"/>
          <w:sz w:val="32"/>
          <w:szCs w:val="32"/>
          <w:lang w:eastAsia="zh-CN"/>
        </w:rPr>
        <w:t>）</w:t>
      </w:r>
    </w:p>
    <w:p>
      <w:pPr>
        <w:pStyle w:val="3"/>
        <w:rPr>
          <w:rFonts w:hint="eastAsia"/>
          <w:lang w:eastAsia="zh-CN"/>
        </w:rPr>
      </w:pPr>
    </w:p>
    <w:tbl>
      <w:tblPr>
        <w:tblStyle w:val="8"/>
        <w:tblW w:w="9085"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5"/>
        <w:gridCol w:w="2427"/>
        <w:gridCol w:w="1095"/>
        <w:gridCol w:w="4050"/>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作者</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成果名称</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珠海市委党校</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（珠海行政学院）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张晓曦</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《新中华报》的抗战动员</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242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褚  丽</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弘扬劳模精神  引领青年发展</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汕头市委党校</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（汕头行政学院）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郑梦婕</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提高“政治三力”，推动构建新发展格局</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42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林剑贞</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新世纪以来“中国道路”研究的知识版图、论域与展望——基于CNKI数据库核心期刊和CSSCI的计量分析（2000-2021）</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佛山市委党校</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（佛山行政学院）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文荣光</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粤港澳大湾区视角下的城市群功能分工专业化、异质型人力资本与地区工资差距</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427"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彭  莹</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城市文化遗产变迁中的创新保护与伦理反思——基于顺德西山庙的考察与研究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427"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吴亚慧</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“行动者-空间生产”视角下社会组织有效参与社区治理研究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427" w:type="dxa"/>
            <w:vMerge w:val="restart"/>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河源市委党校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（河源行政学院）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吴子南</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新时代党政人才队伍建设的现实困境及路径探析——以河源市为例</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2427"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肖小爱</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关于新乡贤推动农村发展的实践与探讨——以广东河源为例</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2427"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付雪芹</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弘扬岭南文化 建设人文湾区</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2427"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吴  云</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新时代市域社会治理现代化问题研究——以河源市为例</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2427" w:type="dxa"/>
            <w:vMerge w:val="restart"/>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梅州市委党校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（梅州行政学院）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罗心欲</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乡村振兴背景下乡村监督的实践偏离与有效性构建</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2427"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罗  彪</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重大行政决策的逻辑转换及其法治化策略：基于大数据思维</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2427" w:type="dxa"/>
            <w:vMerge w:val="restart"/>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惠州市委党校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（惠州行政学院）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李耀云</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百年魂：惠州革命历史人物选粹</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2427"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黄忠平</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Style w:val="10"/>
                <w:rFonts w:hAnsi="宋体"/>
                <w:lang w:val="en-US" w:eastAsia="zh-CN" w:bidi="ar"/>
              </w:rPr>
            </w:pPr>
            <w:r>
              <w:rPr>
                <w:rFonts w:hint="eastAsia" w:ascii="仿宋_GB2312" w:hAnsi="宋体" w:eastAsia="仿宋_GB2312" w:cs="仿宋_GB2312"/>
                <w:i w:val="0"/>
                <w:color w:val="000000"/>
                <w:kern w:val="0"/>
                <w:sz w:val="28"/>
                <w:szCs w:val="28"/>
                <w:u w:val="none"/>
                <w:lang w:val="en-US" w:eastAsia="zh-CN" w:bidi="ar"/>
              </w:rPr>
              <w:t>惠州融入深圳都市圈的发展路径思考</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2427"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李耀云</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图说惠州百年党史</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2427" w:type="dxa"/>
            <w:vMerge w:val="restart"/>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汕尾市委党校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（汕尾行政学院）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邓晓馨</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中国共产党百年民生建设理论与实践历史逻辑、现实启示和未来路向</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2427"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林延斌</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新时代“枫桥经验”：邻避冲突治理的困境与策略</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2427"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东莞市委党校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（东莞行政学院）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东莞市委党校</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新时代党的创新理论的东莞实践</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中山市委党校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（中山行政学院）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党西民</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人脸识别的分类管理及制度平衡</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江门市委党校</w:t>
            </w:r>
          </w:p>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（江门行政学院）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李永军</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乡村振兴战略下相对贫困治理时代问题解析</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2427"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李向军</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梁启超乡治思想：功能分析与价值启示</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242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张学东</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一个乡镇党校的六十三载——广东省江门市新会区双水镇委党校办学治校回眸</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湛江市委党校</w:t>
            </w:r>
          </w:p>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（湛江行政学院）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汤晓龙</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广东滨海旅游业发展的问题及路径研究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242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吴逸然</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尺度政治视角下北部湾城市群发展研究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茂名市委党校</w:t>
            </w:r>
          </w:p>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（茂名行政学院）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宁其冲</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天一亮，你就会看见太阳微笑——李卡烈士纪念碑碑文敬读</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肇庆市委党校</w:t>
            </w:r>
          </w:p>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（肇庆行政学院）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田铭钊</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习近平关于建设长期执政的马克思主义政党重要论述的核心要义、生成逻辑与实践路径</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2427"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常  静</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网络时代社会主义核心价值观话语权建构</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242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田铭钊</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叶挺独立团党支部：党在军队建立的第一个支部</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清远市委党校</w:t>
            </w:r>
          </w:p>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（清远行政学院）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张  林</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广东旅游业发展与区域经济增长研究——基于珠三角和粤东西北地区的面板数据</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31</w:t>
            </w:r>
          </w:p>
        </w:tc>
        <w:tc>
          <w:tcPr>
            <w:tcW w:w="2427"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江小娟</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将建党精神融入党性教育的价值意蕴与实践路径</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w:t>
            </w:r>
          </w:p>
        </w:tc>
        <w:tc>
          <w:tcPr>
            <w:tcW w:w="242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侯少龙</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粤港澳大湾区命运共同体构建中的历史记忆和文化认同</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33</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潮州市委党校</w:t>
            </w:r>
          </w:p>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（潮州行政学院）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蓝乾栋</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基于网络文本分析的潮州古城文化景区旅游形象研究——以牌坊街为例</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5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34</w:t>
            </w:r>
          </w:p>
        </w:tc>
        <w:tc>
          <w:tcPr>
            <w:tcW w:w="2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揭阳市委党校</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（揭阳行政学院）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杨晓英</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汇聚新时代“侨心”“侨智”</w:t>
            </w:r>
            <w:r>
              <w:rPr>
                <w:rFonts w:ascii="DejaVu Sans" w:hAnsi="DejaVu Sans" w:eastAsia="DejaVu Sans" w:cs="DejaVu Sans"/>
                <w:i w:val="0"/>
                <w:color w:val="000000"/>
                <w:kern w:val="0"/>
                <w:sz w:val="28"/>
                <w:szCs w:val="28"/>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推动共建“一带一路”高质量发展</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35</w:t>
            </w:r>
          </w:p>
        </w:tc>
        <w:tc>
          <w:tcPr>
            <w:tcW w:w="242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云浮市委党校</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（云浮行政学院）</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陈永活</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全面推进乡村振兴法治化的几点思考</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36</w:t>
            </w:r>
          </w:p>
        </w:tc>
        <w:tc>
          <w:tcPr>
            <w:tcW w:w="242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郭毅铭</w:t>
            </w:r>
          </w:p>
        </w:tc>
        <w:tc>
          <w:tcPr>
            <w:tcW w:w="4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中国共产党法治建设基本经验及其发展研究</w:t>
            </w: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论文</w:t>
            </w:r>
          </w:p>
        </w:tc>
      </w:tr>
    </w:tbl>
    <w:p>
      <w:pPr>
        <w:keepNext w:val="0"/>
        <w:keepLines w:val="0"/>
        <w:pageBreakBefore w:val="0"/>
        <w:widowControl w:val="0"/>
        <w:tabs>
          <w:tab w:val="left" w:pos="945"/>
          <w:tab w:val="center" w:pos="4213"/>
        </w:tabs>
        <w:kinsoku/>
        <w:wordWrap/>
        <w:overflowPunct/>
        <w:topLinePunct w:val="0"/>
        <w:autoSpaceDE/>
        <w:autoSpaceDN/>
        <w:bidi w:val="0"/>
        <w:adjustRightInd/>
        <w:snapToGrid w:val="0"/>
        <w:spacing w:line="620" w:lineRule="exact"/>
        <w:ind w:left="0" w:leftChars="0" w:right="0" w:rightChars="0" w:firstLine="420" w:firstLineChars="200"/>
        <w:jc w:val="left"/>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ambria">
    <w:altName w:val="FreeSerif"/>
    <w:panose1 w:val="02040503050406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GB2312">
    <w:altName w:val="楷体"/>
    <w:panose1 w:val="00000000000000000000"/>
    <w:charset w:val="00"/>
    <w:family w:val="auto"/>
    <w:pitch w:val="default"/>
    <w:sig w:usb0="00000000" w:usb1="00000000" w:usb2="00000000" w:usb3="00000000" w:csb0="00040001"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3ED4CCF"/>
    <w:rsid w:val="4A1947CF"/>
    <w:rsid w:val="4CDC5699"/>
    <w:rsid w:val="5FDE8F92"/>
    <w:rsid w:val="5FFF5F59"/>
    <w:rsid w:val="73FA6181"/>
    <w:rsid w:val="7D7C4626"/>
    <w:rsid w:val="7E270FD2"/>
    <w:rsid w:val="AAFD7C00"/>
    <w:rsid w:val="AE7B637C"/>
    <w:rsid w:val="AFEF8DAA"/>
    <w:rsid w:val="BBDBFE18"/>
    <w:rsid w:val="BDEBA607"/>
    <w:rsid w:val="D64E301A"/>
    <w:rsid w:val="DBB5D12D"/>
    <w:rsid w:val="DFFE3E7A"/>
    <w:rsid w:val="DFFF31DD"/>
    <w:rsid w:val="E91FC6E0"/>
    <w:rsid w:val="F237AD7E"/>
    <w:rsid w:val="F74700E1"/>
    <w:rsid w:val="FADD69C1"/>
    <w:rsid w:val="FBFA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0" w:beforeLines="0" w:afterLines="0" w:line="620" w:lineRule="exact"/>
      <w:ind w:firstLine="883" w:firstLineChars="200"/>
      <w:jc w:val="left"/>
      <w:outlineLvl w:val="2"/>
    </w:pPr>
    <w:rPr>
      <w:rFonts w:ascii="Cambria" w:hAnsi="Cambria" w:eastAsia="楷体_GB2312" w:cs="Times New Roman"/>
    </w:rPr>
  </w:style>
  <w:style w:type="character" w:default="1" w:styleId="5">
    <w:name w:val="Default Paragraph Font"/>
    <w:link w:val="6"/>
    <w:semiHidden/>
    <w:qFormat/>
    <w:uiPriority w:val="0"/>
    <w:rPr>
      <w:rFonts w:ascii="Times New Roman" w:hAnsi="Times New Roman"/>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4">
    <w:name w:val="footnote text"/>
    <w:basedOn w:val="1"/>
    <w:qFormat/>
    <w:uiPriority w:val="0"/>
    <w:pPr>
      <w:snapToGrid w:val="0"/>
      <w:jc w:val="left"/>
    </w:pPr>
    <w:rPr>
      <w:rFonts w:ascii="Times New Roman" w:hAnsi="Times New Roman"/>
      <w:sz w:val="18"/>
    </w:rPr>
  </w:style>
  <w:style w:type="paragraph" w:customStyle="1" w:styleId="6">
    <w:name w:val="Char"/>
    <w:basedOn w:val="1"/>
    <w:link w:val="5"/>
    <w:qFormat/>
    <w:uiPriority w:val="0"/>
    <w:pPr>
      <w:widowControl/>
      <w:spacing w:after="160" w:afterLines="0" w:line="240" w:lineRule="exact"/>
      <w:jc w:val="left"/>
    </w:pPr>
    <w:rPr>
      <w:rFonts w:ascii="Times New Roman" w:hAnsi="Times New Roman"/>
    </w:rPr>
  </w:style>
  <w:style w:type="character" w:styleId="7">
    <w:name w:val="footnote reference"/>
    <w:basedOn w:val="5"/>
    <w:qFormat/>
    <w:uiPriority w:val="0"/>
    <w:rPr>
      <w:rFonts w:ascii="Times New Roman" w:hAnsi="Times New Roman" w:eastAsia="宋体" w:cs="Times New Roman"/>
      <w:vertAlign w:val="superscript"/>
    </w:rPr>
  </w:style>
  <w:style w:type="paragraph" w:customStyle="1" w:styleId="9">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10">
    <w:name w:val="font01"/>
    <w:basedOn w:val="5"/>
    <w:qFormat/>
    <w:uiPriority w:val="0"/>
    <w:rPr>
      <w:rFonts w:hint="eastAsia" w:ascii="仿宋_GB2312" w:eastAsia="仿宋_GB2312" w:cs="仿宋_GB2312"/>
      <w:color w:val="000000"/>
      <w:sz w:val="28"/>
      <w:szCs w:val="28"/>
      <w:u w:val="none"/>
    </w:rPr>
  </w:style>
  <w:style w:type="character" w:customStyle="1" w:styleId="11">
    <w:name w:val="font21"/>
    <w:basedOn w:val="5"/>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thtf</cp:lastModifiedBy>
  <dcterms:modified xsi:type="dcterms:W3CDTF">2023-11-29T15:04:49Z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2052-10.8.0.6920</vt:lpwstr>
  </property>
</Properties>
</file>